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FE24E" w14:textId="77777777" w:rsidR="00727007" w:rsidRDefault="00221DD5">
      <w:r>
        <w:t>VIRGOLETTATO</w:t>
      </w:r>
      <w:r w:rsidR="00ED5069">
        <w:t xml:space="preserve"> 12 brani</w:t>
      </w:r>
      <w:bookmarkStart w:id="0" w:name="_GoBack"/>
      <w:bookmarkEnd w:id="0"/>
      <w:r>
        <w:t xml:space="preserve"> di Paola Pallottino dei 12 BRANI </w:t>
      </w:r>
    </w:p>
    <w:p w14:paraId="3AF99D95" w14:textId="77777777" w:rsidR="00221DD5" w:rsidRDefault="00221DD5"/>
    <w:p w14:paraId="151F2F67" w14:textId="77777777" w:rsidR="00221DD5" w:rsidRDefault="00221DD5" w:rsidP="00221DD5">
      <w:pPr>
        <w:jc w:val="both"/>
      </w:pPr>
      <w:r>
        <w:rPr>
          <w:rFonts w:ascii="Times-Roman" w:eastAsia="Times-Roman" w:hAnsi="Times-Roman" w:cs="Times-Roman"/>
          <w:color w:val="000000"/>
          <w:sz w:val="28"/>
          <w:szCs w:val="28"/>
        </w:rPr>
        <w:t>Concept album realizzato da due donne: l’autrice Paola Pallottino e la musicista-cantante Gianfranca Montedoro, nacque dall’urgenza di analizzare e raccontare problemi e contraddizioni del comune vissuto quotidiano, utilizzando la metafora dei numeri del circo attraverso 12 canzoni.</w:t>
      </w:r>
    </w:p>
    <w:p w14:paraId="686A46D3" w14:textId="77777777" w:rsidR="00221DD5" w:rsidRDefault="00221DD5" w:rsidP="00221DD5">
      <w:pPr>
        <w:jc w:val="both"/>
      </w:pPr>
      <w:r>
        <w:rPr>
          <w:rFonts w:ascii="Times-Roman" w:eastAsia="Times-Roman" w:hAnsi="Times-Roman" w:cs="Times-Roman"/>
          <w:color w:val="000000"/>
          <w:sz w:val="28"/>
          <w:szCs w:val="28"/>
        </w:rPr>
        <w:t xml:space="preserve">Scritte di getto, la loro valenza politica è metaforizzata dai singoli contenuti destinati a evidenziare una serie di aspetti della vita delle donne negli anni Settanta.  </w:t>
      </w:r>
    </w:p>
    <w:p w14:paraId="502C06A3" w14:textId="77777777" w:rsidR="00221DD5" w:rsidRDefault="00221DD5" w:rsidP="00221DD5">
      <w:pPr>
        <w:jc w:val="both"/>
        <w:rPr>
          <w:rFonts w:ascii="Times-Roman" w:eastAsia="Times-Roman" w:hAnsi="Times-Roman" w:cs="Times-Roman"/>
          <w:color w:val="000000"/>
          <w:sz w:val="28"/>
          <w:szCs w:val="28"/>
        </w:rPr>
      </w:pPr>
    </w:p>
    <w:p w14:paraId="440769F7" w14:textId="77777777" w:rsidR="00221DD5" w:rsidRDefault="00221DD5" w:rsidP="00221DD5">
      <w:pPr>
        <w:jc w:val="both"/>
        <w:rPr>
          <w:rFonts w:ascii="Times-Roman" w:eastAsia="Times-Roman" w:hAnsi="Times-Roman" w:cs="Times-Roman"/>
          <w:color w:val="000000"/>
          <w:sz w:val="28"/>
          <w:szCs w:val="28"/>
        </w:rPr>
      </w:pPr>
    </w:p>
    <w:p w14:paraId="6B78FEE5" w14:textId="77777777" w:rsidR="00221DD5" w:rsidRDefault="00221DD5" w:rsidP="00221DD5">
      <w:pPr>
        <w:jc w:val="both"/>
      </w:pPr>
      <w:r>
        <w:rPr>
          <w:rFonts w:ascii="Times-Roman" w:eastAsia="Times-Roman" w:hAnsi="Times-Roman" w:cs="Times-Roman"/>
          <w:color w:val="000000"/>
          <w:sz w:val="28"/>
          <w:szCs w:val="28"/>
        </w:rPr>
        <w:t xml:space="preserve">La prima, </w:t>
      </w:r>
      <w:r>
        <w:rPr>
          <w:rFonts w:ascii="Times-Italic" w:eastAsia="Times-Italic" w:hAnsi="Times-Italic" w:cs="Times-Italic"/>
          <w:i/>
          <w:iCs/>
          <w:color w:val="000000"/>
          <w:sz w:val="28"/>
          <w:szCs w:val="28"/>
        </w:rPr>
        <w:t>Donna Circo</w:t>
      </w:r>
      <w:r>
        <w:rPr>
          <w:rFonts w:ascii="Times-Roman" w:eastAsia="Times-Roman" w:hAnsi="Times-Roman" w:cs="Times-Roman"/>
          <w:color w:val="000000"/>
          <w:sz w:val="28"/>
          <w:szCs w:val="28"/>
        </w:rPr>
        <w:t xml:space="preserve">, riassume in forma poeticamente iperbolica la complessa e frequentamente drammatica esperienza della condizione femminile, la seconda </w:t>
      </w:r>
      <w:r>
        <w:rPr>
          <w:rFonts w:ascii="Times-Italic" w:eastAsia="Times-Italic" w:hAnsi="Times-Italic" w:cs="Times-Italic"/>
          <w:i/>
          <w:iCs/>
          <w:color w:val="000000"/>
          <w:sz w:val="28"/>
          <w:szCs w:val="28"/>
        </w:rPr>
        <w:t>A cuore aperto</w:t>
      </w:r>
      <w:r>
        <w:rPr>
          <w:rFonts w:ascii="Times-Roman" w:eastAsia="Times-Roman" w:hAnsi="Times-Roman" w:cs="Times-Roman"/>
          <w:color w:val="000000"/>
          <w:sz w:val="28"/>
          <w:szCs w:val="28"/>
        </w:rPr>
        <w:t xml:space="preserve"> allude alla fatale pratica dell’aborto praticato da ‘mammane’ e ‘cucchiai d’oro’ prima della legge del 1978 mentre, </w:t>
      </w:r>
      <w:r>
        <w:rPr>
          <w:rFonts w:ascii="Times-Italic" w:eastAsia="Times-Italic" w:hAnsi="Times-Italic" w:cs="Times-Italic"/>
          <w:i/>
          <w:iCs/>
          <w:color w:val="000000"/>
          <w:sz w:val="28"/>
          <w:szCs w:val="28"/>
        </w:rPr>
        <w:t>A dodici metri</w:t>
      </w:r>
      <w:r>
        <w:rPr>
          <w:rFonts w:ascii="Times-Roman" w:eastAsia="Times-Roman" w:hAnsi="Times-Roman" w:cs="Times-Roman"/>
          <w:color w:val="000000"/>
          <w:sz w:val="28"/>
          <w:szCs w:val="28"/>
        </w:rPr>
        <w:t xml:space="preserve">, simboleggia l’alterno contrasto e la precarietà del rapporto di coppia. </w:t>
      </w:r>
    </w:p>
    <w:p w14:paraId="1BD7930D" w14:textId="77777777" w:rsidR="00221DD5" w:rsidRPr="002258C9" w:rsidRDefault="00221DD5" w:rsidP="00221DD5">
      <w:pPr>
        <w:jc w:val="both"/>
        <w:rPr>
          <w:rFonts w:ascii="Times-Roman" w:eastAsia="Times-Roman" w:hAnsi="Times-Roman" w:cs="Times-Roman"/>
          <w:color w:val="000000"/>
          <w:sz w:val="28"/>
          <w:szCs w:val="28"/>
        </w:rPr>
      </w:pPr>
      <w:r>
        <w:rPr>
          <w:rFonts w:ascii="Times-Roman" w:eastAsia="Times-Roman" w:hAnsi="Times-Roman" w:cs="Times-Roman"/>
          <w:color w:val="000000"/>
          <w:sz w:val="28"/>
          <w:szCs w:val="28"/>
        </w:rPr>
        <w:t xml:space="preserve">E se </w:t>
      </w:r>
      <w:r>
        <w:rPr>
          <w:rFonts w:ascii="Times-Italic" w:eastAsia="Times-Italic" w:hAnsi="Times-Italic" w:cs="Times-Italic"/>
          <w:i/>
          <w:iCs/>
          <w:color w:val="000000"/>
          <w:sz w:val="28"/>
          <w:szCs w:val="28"/>
        </w:rPr>
        <w:t>La banda</w:t>
      </w:r>
      <w:r>
        <w:rPr>
          <w:rFonts w:ascii="Times-Roman" w:eastAsia="Times-Roman" w:hAnsi="Times-Roman" w:cs="Times-Roman"/>
          <w:color w:val="000000"/>
          <w:sz w:val="28"/>
          <w:szCs w:val="28"/>
        </w:rPr>
        <w:t xml:space="preserve"> scioglie la tensione con l’umoristica presa d’atto dell’eterno stereotipo della condizione femminile, </w:t>
      </w:r>
      <w:r>
        <w:rPr>
          <w:rFonts w:ascii="Times-Italic" w:eastAsia="Times-Italic" w:hAnsi="Times-Italic" w:cs="Times-Italic"/>
          <w:i/>
          <w:iCs/>
          <w:color w:val="000000"/>
          <w:sz w:val="28"/>
          <w:szCs w:val="28"/>
        </w:rPr>
        <w:t>Gli elefanti</w:t>
      </w:r>
      <w:r>
        <w:rPr>
          <w:rFonts w:ascii="Times-Roman" w:eastAsia="Times-Roman" w:hAnsi="Times-Roman" w:cs="Times-Roman"/>
          <w:color w:val="000000"/>
          <w:sz w:val="28"/>
          <w:szCs w:val="28"/>
        </w:rPr>
        <w:t xml:space="preserve"> rappresenta una sorta di ‘avanti popolo!’ che, nel fare riferimento a l’unione che fa la forza, minaccia quella possibile ribellione alla quale allude il vano tentativo di rivolta femminile ne </w:t>
      </w:r>
      <w:r>
        <w:rPr>
          <w:rFonts w:ascii="Times-Italic" w:eastAsia="Times-Italic" w:hAnsi="Times-Italic" w:cs="Times-Italic"/>
          <w:i/>
          <w:iCs/>
          <w:color w:val="000000"/>
          <w:sz w:val="28"/>
          <w:szCs w:val="28"/>
        </w:rPr>
        <w:t>La tigre del Bengala</w:t>
      </w:r>
      <w:r>
        <w:rPr>
          <w:rFonts w:ascii="Times-Roman" w:eastAsia="Times-Roman" w:hAnsi="Times-Roman" w:cs="Times-Roman"/>
          <w:color w:val="000000"/>
          <w:sz w:val="28"/>
          <w:szCs w:val="28"/>
        </w:rPr>
        <w:t xml:space="preserve">, con la conseguente repressione che la mano maschile tradurrà nel feroce e ormai rituale ‘femminicidio’. </w:t>
      </w:r>
      <w:r>
        <w:rPr>
          <w:rFonts w:ascii="Times-Italic" w:eastAsia="Times-Italic" w:hAnsi="Times-Italic" w:cs="Times-Italic"/>
          <w:i/>
          <w:iCs/>
          <w:color w:val="000000"/>
          <w:sz w:val="28"/>
          <w:szCs w:val="28"/>
        </w:rPr>
        <w:t>Che pazzi i pagliacci</w:t>
      </w:r>
      <w:r>
        <w:rPr>
          <w:rFonts w:ascii="Times-Roman" w:eastAsia="Times-Roman" w:hAnsi="Times-Roman" w:cs="Times-Roman"/>
          <w:color w:val="000000"/>
          <w:sz w:val="28"/>
          <w:szCs w:val="28"/>
        </w:rPr>
        <w:t xml:space="preserve"> sottolinea lo sguardo beffardo e impietoso che le donne rivolgono a una società irrimediabilmente fallocratica. </w:t>
      </w:r>
      <w:r>
        <w:rPr>
          <w:rFonts w:ascii="Times-Italic" w:eastAsia="Times-Italic" w:hAnsi="Times-Italic" w:cs="Times-Italic"/>
          <w:i/>
          <w:iCs/>
          <w:color w:val="000000"/>
          <w:sz w:val="28"/>
          <w:szCs w:val="28"/>
        </w:rPr>
        <w:t>I due giocolieri</w:t>
      </w:r>
      <w:r>
        <w:rPr>
          <w:rFonts w:ascii="Times-Roman" w:eastAsia="Times-Roman" w:hAnsi="Times-Roman" w:cs="Times-Roman"/>
          <w:color w:val="000000"/>
          <w:sz w:val="28"/>
          <w:szCs w:val="28"/>
        </w:rPr>
        <w:t xml:space="preserve"> riprende il tema della logorante, quanto spesso irraggiungibile fatica dell’equilibrio quotidiano mentre </w:t>
      </w:r>
      <w:r>
        <w:rPr>
          <w:rFonts w:ascii="Times-Italic" w:eastAsia="Times-Italic" w:hAnsi="Times-Italic" w:cs="Times-Italic"/>
          <w:i/>
          <w:iCs/>
          <w:color w:val="000000"/>
          <w:sz w:val="28"/>
          <w:szCs w:val="28"/>
        </w:rPr>
        <w:t>La cavallerizza</w:t>
      </w:r>
      <w:r>
        <w:rPr>
          <w:rFonts w:ascii="Times-Roman" w:eastAsia="Times-Roman" w:hAnsi="Times-Roman" w:cs="Times-Roman"/>
          <w:color w:val="000000"/>
          <w:sz w:val="28"/>
          <w:szCs w:val="28"/>
        </w:rPr>
        <w:t xml:space="preserve"> rappresenta una riflessione sulla solitudine e sulla trappola della fissazione amorosa, così come </w:t>
      </w:r>
      <w:r>
        <w:rPr>
          <w:rFonts w:ascii="Times-Italic" w:eastAsia="Times-Italic" w:hAnsi="Times-Italic" w:cs="Times-Italic"/>
          <w:i/>
          <w:iCs/>
          <w:color w:val="000000"/>
          <w:sz w:val="28"/>
          <w:szCs w:val="28"/>
        </w:rPr>
        <w:t>Trenta coltelli</w:t>
      </w:r>
      <w:r>
        <w:rPr>
          <w:rFonts w:ascii="Times-Roman" w:eastAsia="Times-Roman" w:hAnsi="Times-Roman" w:cs="Times-Roman"/>
          <w:color w:val="000000"/>
          <w:sz w:val="28"/>
          <w:szCs w:val="28"/>
        </w:rPr>
        <w:t xml:space="preserve">, allude al pericolo della convivenza in mancanza d’amore. </w:t>
      </w:r>
      <w:r>
        <w:rPr>
          <w:rFonts w:ascii="Times-Italic" w:eastAsia="Times-Italic" w:hAnsi="Times-Italic" w:cs="Times-Italic"/>
          <w:i/>
          <w:iCs/>
          <w:color w:val="000000"/>
          <w:sz w:val="28"/>
          <w:szCs w:val="28"/>
        </w:rPr>
        <w:t>Lo scontorsionista</w:t>
      </w:r>
      <w:r>
        <w:rPr>
          <w:rFonts w:ascii="Times-Roman" w:eastAsia="Times-Roman" w:hAnsi="Times-Roman" w:cs="Times-Roman"/>
          <w:color w:val="000000"/>
          <w:sz w:val="28"/>
          <w:szCs w:val="28"/>
        </w:rPr>
        <w:t xml:space="preserve"> è un chiaroveggente pamphlet che anticipa la figura del socialista così come si sarebbe sviluppata in era craxiana.   </w:t>
      </w:r>
    </w:p>
    <w:p w14:paraId="383116F1" w14:textId="77777777" w:rsidR="00221DD5" w:rsidRDefault="00221DD5" w:rsidP="00221DD5">
      <w:pPr>
        <w:jc w:val="both"/>
        <w:rPr>
          <w:rFonts w:ascii="Times-Roman" w:eastAsia="Times-Roman" w:hAnsi="Times-Roman" w:cs="Times-Roman"/>
          <w:color w:val="000000"/>
          <w:sz w:val="28"/>
          <w:szCs w:val="28"/>
        </w:rPr>
      </w:pPr>
      <w:r>
        <w:rPr>
          <w:rFonts w:ascii="Times-Roman" w:eastAsia="Times-Roman" w:hAnsi="Times-Roman" w:cs="Times-Roman"/>
          <w:color w:val="000000"/>
          <w:sz w:val="28"/>
          <w:szCs w:val="28"/>
        </w:rPr>
        <w:t xml:space="preserve">Infine, </w:t>
      </w:r>
      <w:r>
        <w:rPr>
          <w:rFonts w:ascii="Times-Italic" w:eastAsia="Times-Italic" w:hAnsi="Times-Italic" w:cs="Times-Italic"/>
          <w:i/>
          <w:iCs/>
          <w:color w:val="000000"/>
          <w:sz w:val="28"/>
          <w:szCs w:val="28"/>
        </w:rPr>
        <w:t>La grande parata</w:t>
      </w:r>
      <w:r>
        <w:rPr>
          <w:rFonts w:ascii="Times-Roman" w:eastAsia="Times-Roman" w:hAnsi="Times-Roman" w:cs="Times-Roman"/>
          <w:color w:val="000000"/>
          <w:sz w:val="28"/>
          <w:szCs w:val="28"/>
        </w:rPr>
        <w:t xml:space="preserve">, che Gianfranca Montedoro interpreterà con la struggente invenzione dei successivi strumenti musicali a levare, rappresenta la grande giostra della vita che intreccia inganni, debolezze e menzogne... </w:t>
      </w:r>
    </w:p>
    <w:p w14:paraId="4E49DE63" w14:textId="77777777" w:rsidR="00221DD5" w:rsidRDefault="00221DD5"/>
    <w:sectPr w:rsidR="00221DD5" w:rsidSect="00B34F2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-Roman">
    <w:altName w:val="Times"/>
    <w:charset w:val="00"/>
    <w:family w:val="auto"/>
    <w:pitch w:val="default"/>
  </w:font>
  <w:font w:name="Times-Italic">
    <w:altName w:val="Times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D5"/>
    <w:rsid w:val="00221DD5"/>
    <w:rsid w:val="00727007"/>
    <w:rsid w:val="00B34F29"/>
    <w:rsid w:val="00ED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3C0F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1828</Characters>
  <Application>Microsoft Macintosh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la polla</dc:creator>
  <cp:keywords/>
  <dc:description/>
  <cp:lastModifiedBy>Susanna la polla</cp:lastModifiedBy>
  <cp:revision>2</cp:revision>
  <dcterms:created xsi:type="dcterms:W3CDTF">2021-04-13T06:56:00Z</dcterms:created>
  <dcterms:modified xsi:type="dcterms:W3CDTF">2021-04-13T17:21:00Z</dcterms:modified>
</cp:coreProperties>
</file>